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B3D23" w:rsidR="00D15B0A" w:rsidP="4BDF903F" w:rsidRDefault="00985FA2" w14:paraId="5B78EEA9" w14:textId="1ECDBDEB">
      <w:pPr>
        <w:rPr>
          <w:rFonts w:hint="eastAsia"/>
          <w:color w:val="000000" w:themeColor="text1"/>
          <w:sz w:val="40"/>
          <w:szCs w:val="40"/>
        </w:rPr>
      </w:pPr>
      <w:r w:rsidRPr="4BDF903F">
        <w:rPr>
          <w:color w:val="000000" w:themeColor="text1"/>
          <w:sz w:val="40"/>
          <w:szCs w:val="40"/>
        </w:rPr>
        <w:t>Various Types of Transaction-based Interfaces (TLM) for DisplayPort VIP</w:t>
      </w:r>
    </w:p>
    <w:p w:rsidRPr="007B3D23" w:rsidR="002A58F8" w:rsidRDefault="004617FD" w14:paraId="4ADFBF4D" w14:textId="5960AC67">
      <w:pPr>
        <w:rPr>
          <w:rFonts w:ascii="Calibri" w:hAnsi="Calibri" w:eastAsia="Times New Roman" w:cs="Calibri"/>
          <w:b/>
          <w:bCs/>
          <w:sz w:val="32"/>
          <w:szCs w:val="32"/>
        </w:rPr>
      </w:pPr>
      <w:r>
        <w:rPr>
          <w:rFonts w:ascii="Calibri" w:hAnsi="Calibri" w:eastAsia="Times New Roman" w:cs="Calibri"/>
          <w:b/>
          <w:bCs/>
          <w:sz w:val="32"/>
          <w:szCs w:val="32"/>
        </w:rPr>
        <w:t>Introduction</w:t>
      </w:r>
    </w:p>
    <w:p w:rsidR="00B9449B" w:rsidRDefault="00A37CC9" w14:paraId="29D5B094" w14:textId="3B95A67F">
      <w:pPr>
        <w:rPr>
          <w:rFonts w:ascii="Calibri" w:hAnsi="Calibri" w:eastAsia="Times New Roman" w:cs="Calibri"/>
        </w:rPr>
      </w:pPr>
      <w:r>
        <w:rPr>
          <w:rFonts w:ascii="Calibri" w:hAnsi="Calibri" w:eastAsia="Times New Roman" w:cs="Calibri"/>
        </w:rPr>
        <w:t xml:space="preserve">Different RTL designs often require different specially designed parallel interfaces. These different interface requirements serve varying needs, such as certain block not ready when design under development, to speed up simulation during unit testing, DisplayPort need to connect to other protocols. Instead of creating a new physical pin interface, this blog </w:t>
      </w:r>
      <w:r w:rsidR="00326058">
        <w:rPr>
          <w:rFonts w:ascii="Calibri" w:hAnsi="Calibri" w:eastAsia="Times New Roman" w:cs="Calibri"/>
        </w:rPr>
        <w:t>introduce</w:t>
      </w:r>
      <w:r w:rsidR="00AE745A">
        <w:rPr>
          <w:rFonts w:ascii="Calibri" w:hAnsi="Calibri" w:eastAsia="Times New Roman" w:cs="Calibri"/>
        </w:rPr>
        <w:t>s</w:t>
      </w:r>
      <w:r>
        <w:rPr>
          <w:rFonts w:ascii="Calibri" w:hAnsi="Calibri" w:eastAsia="Times New Roman" w:cs="Calibri"/>
        </w:rPr>
        <w:t xml:space="preserve"> a Transaction-Based Customer Interface, which is compatible with all user’s specific parallel interface requirements.</w:t>
      </w:r>
      <w:r w:rsidR="00B9449B">
        <w:rPr>
          <w:rFonts w:ascii="Calibri" w:hAnsi="Calibri" w:eastAsia="Times New Roman" w:cs="Calibri"/>
        </w:rPr>
        <w:t xml:space="preserve"> </w:t>
      </w:r>
      <w:r w:rsidR="002A58F8">
        <w:rPr>
          <w:rFonts w:ascii="Calibri" w:hAnsi="Calibri" w:eastAsia="Times New Roman" w:cs="Calibri"/>
        </w:rPr>
        <w:t xml:space="preserve"> </w:t>
      </w:r>
      <w:r w:rsidR="00B9449B">
        <w:rPr>
          <w:rFonts w:ascii="Calibri" w:hAnsi="Calibri" w:eastAsia="Times New Roman" w:cs="Calibri"/>
        </w:rPr>
        <w:t>Traditio</w:t>
      </w:r>
      <w:r w:rsidR="00555EBF">
        <w:rPr>
          <w:rFonts w:ascii="Calibri" w:hAnsi="Calibri" w:eastAsia="Times New Roman" w:cs="Calibri"/>
        </w:rPr>
        <w:t>nal</w:t>
      </w:r>
      <w:r w:rsidR="00B9449B">
        <w:rPr>
          <w:rFonts w:ascii="Calibri" w:hAnsi="Calibri" w:eastAsia="Times New Roman" w:cs="Calibri"/>
        </w:rPr>
        <w:t xml:space="preserve"> way of creating a new physical pin interface is time consuming. Even a slight difference in the interface definition requires the development of a full pin interface as the pin interface is 1 to 1 solution. Also, multiple physical interface</w:t>
      </w:r>
      <w:r w:rsidR="002A58F8">
        <w:rPr>
          <w:rFonts w:ascii="Calibri" w:hAnsi="Calibri" w:eastAsia="Times New Roman" w:cs="Calibri"/>
        </w:rPr>
        <w:t>s</w:t>
      </w:r>
      <w:r w:rsidR="00B9449B">
        <w:rPr>
          <w:rFonts w:ascii="Calibri" w:hAnsi="Calibri" w:eastAsia="Times New Roman" w:cs="Calibri"/>
        </w:rPr>
        <w:t xml:space="preserve"> </w:t>
      </w:r>
      <w:r w:rsidR="002A58F8">
        <w:rPr>
          <w:rFonts w:ascii="Calibri" w:hAnsi="Calibri" w:eastAsia="Times New Roman" w:cs="Calibri"/>
        </w:rPr>
        <w:t>are</w:t>
      </w:r>
      <w:r w:rsidR="00B9449B">
        <w:rPr>
          <w:rFonts w:ascii="Calibri" w:hAnsi="Calibri" w:eastAsia="Times New Roman" w:cs="Calibri"/>
        </w:rPr>
        <w:t xml:space="preserve"> also confused to user. </w:t>
      </w:r>
      <w:r w:rsidR="002A58F8">
        <w:rPr>
          <w:rFonts w:ascii="Calibri" w:hAnsi="Calibri" w:eastAsia="Times New Roman" w:cs="Calibri"/>
        </w:rPr>
        <w:t>This interface allows the user to use the VIP transactions and callback instead of predefined physical pins.</w:t>
      </w:r>
      <w:r w:rsidR="007B019A">
        <w:rPr>
          <w:rFonts w:ascii="Calibri" w:hAnsi="Calibri" w:eastAsia="Times New Roman" w:cs="Calibri"/>
        </w:rPr>
        <w:t xml:space="preserve"> </w:t>
      </w:r>
      <w:r w:rsidR="00AE745A">
        <w:rPr>
          <w:rFonts w:ascii="Calibri" w:hAnsi="Calibri" w:eastAsia="Times New Roman" w:cs="Calibri"/>
        </w:rPr>
        <w:t xml:space="preserve">For example, </w:t>
      </w:r>
      <w:r w:rsidR="00DF3CFC">
        <w:rPr>
          <w:rFonts w:ascii="Calibri" w:hAnsi="Calibri" w:eastAsia="Times New Roman" w:cs="Calibri"/>
        </w:rPr>
        <w:t>customer</w:t>
      </w:r>
      <w:r w:rsidR="00555EBF">
        <w:rPr>
          <w:rFonts w:ascii="Calibri" w:hAnsi="Calibri" w:eastAsia="Times New Roman" w:cs="Calibri"/>
        </w:rPr>
        <w:t>s</w:t>
      </w:r>
      <w:r w:rsidR="00DF3CFC">
        <w:rPr>
          <w:rFonts w:ascii="Calibri" w:hAnsi="Calibri" w:eastAsia="Times New Roman" w:cs="Calibri"/>
        </w:rPr>
        <w:t xml:space="preserve"> request 32bit aligned interface and CIO mode interface. With traditional methods, VIP need</w:t>
      </w:r>
      <w:r w:rsidR="00555EBF">
        <w:rPr>
          <w:rFonts w:ascii="Calibri" w:hAnsi="Calibri" w:eastAsia="Times New Roman" w:cs="Calibri"/>
        </w:rPr>
        <w:t>s</w:t>
      </w:r>
      <w:r w:rsidR="00DF3CFC">
        <w:rPr>
          <w:rFonts w:ascii="Calibri" w:hAnsi="Calibri" w:eastAsia="Times New Roman" w:cs="Calibri"/>
        </w:rPr>
        <w:t xml:space="preserve"> to create 2 different parallel interfaces</w:t>
      </w:r>
      <w:r w:rsidR="0072672A">
        <w:rPr>
          <w:rFonts w:ascii="Calibri" w:hAnsi="Calibri" w:eastAsia="Times New Roman" w:cs="Calibri"/>
        </w:rPr>
        <w:t xml:space="preserve">. With the Transaction-Based Customer Interface, </w:t>
      </w:r>
      <w:r w:rsidR="004E7441">
        <w:rPr>
          <w:rFonts w:ascii="Calibri" w:hAnsi="Calibri" w:eastAsia="Times New Roman" w:cs="Calibri"/>
        </w:rPr>
        <w:t xml:space="preserve">VIP only uses one interface to fulfill two different </w:t>
      </w:r>
      <w:r w:rsidR="00F236C6">
        <w:rPr>
          <w:rFonts w:ascii="Calibri" w:hAnsi="Calibri" w:eastAsia="Times New Roman" w:cs="Calibri"/>
        </w:rPr>
        <w:t>customer’s requirement</w:t>
      </w:r>
      <w:r w:rsidR="005869AF">
        <w:rPr>
          <w:rFonts w:ascii="Calibri" w:hAnsi="Calibri" w:eastAsia="Times New Roman" w:cs="Calibri"/>
        </w:rPr>
        <w:t>s</w:t>
      </w:r>
      <w:r w:rsidR="00F236C6">
        <w:rPr>
          <w:rFonts w:ascii="Calibri" w:hAnsi="Calibri" w:eastAsia="Times New Roman" w:cs="Calibri"/>
        </w:rPr>
        <w:t xml:space="preserve">. </w:t>
      </w:r>
    </w:p>
    <w:p w:rsidRPr="002263CE" w:rsidR="002A58F8" w:rsidRDefault="002A58F8" w14:paraId="30CD2531" w14:textId="39BB4651">
      <w:pPr>
        <w:rPr>
          <w:rFonts w:ascii="Calibri" w:hAnsi="Calibri" w:eastAsia="Times New Roman" w:cs="Calibri"/>
          <w:b/>
          <w:bCs/>
          <w:sz w:val="32"/>
          <w:szCs w:val="32"/>
        </w:rPr>
      </w:pPr>
      <w:r w:rsidRPr="002263CE">
        <w:rPr>
          <w:rFonts w:ascii="Calibri" w:hAnsi="Calibri" w:eastAsia="Times New Roman" w:cs="Calibri"/>
          <w:b/>
          <w:bCs/>
          <w:sz w:val="32"/>
          <w:szCs w:val="32"/>
        </w:rPr>
        <w:t>Solution</w:t>
      </w:r>
    </w:p>
    <w:p w:rsidRPr="007B3D23" w:rsidR="005533A5" w:rsidRDefault="000B5200" w14:paraId="4E5290C0" w14:textId="171E32CC">
      <w:pPr>
        <w:rPr>
          <w:rFonts w:ascii="Calibri" w:hAnsi="Calibri" w:eastAsia="Times New Roman" w:cs="Calibri"/>
        </w:rPr>
      </w:pPr>
      <w:r w:rsidRPr="2618C875" w:rsidR="0273DD28">
        <w:rPr>
          <w:rFonts w:ascii="Calibri" w:hAnsi="Calibri" w:eastAsia="Times New Roman" w:cs="Calibri"/>
        </w:rPr>
        <w:t>T</w:t>
      </w:r>
      <w:r w:rsidRPr="2618C875" w:rsidR="44B593CD">
        <w:rPr>
          <w:rFonts w:ascii="Calibri" w:hAnsi="Calibri" w:eastAsia="Times New Roman" w:cs="Calibri"/>
        </w:rPr>
        <w:t xml:space="preserve">o </w:t>
      </w:r>
      <w:r w:rsidRPr="2618C875" w:rsidR="0273DD28">
        <w:rPr>
          <w:rFonts w:ascii="Calibri" w:hAnsi="Calibri" w:eastAsia="Times New Roman" w:cs="Calibri"/>
        </w:rPr>
        <w:t>address the above issue, we are proposing t</w:t>
      </w:r>
      <w:r w:rsidRPr="2618C875" w:rsidR="002A58F8">
        <w:rPr>
          <w:rFonts w:ascii="Calibri" w:hAnsi="Calibri" w:eastAsia="Times New Roman" w:cs="Calibri"/>
        </w:rPr>
        <w:t xml:space="preserve">he Transaction-Based Customized Interface is a configurable interface compatible with all user’s specific parallel interface requirements. This interface allows the user to use </w:t>
      </w:r>
      <w:r w:rsidRPr="2618C875" w:rsidR="002A58F8">
        <w:rPr>
          <w:rFonts w:ascii="Calibri" w:hAnsi="Calibri" w:eastAsia="Times New Roman" w:cs="Calibri"/>
        </w:rPr>
        <w:t>the VIP</w:t>
      </w:r>
      <w:r w:rsidRPr="2618C875" w:rsidR="002A58F8">
        <w:rPr>
          <w:rFonts w:ascii="Calibri" w:hAnsi="Calibri" w:eastAsia="Times New Roman" w:cs="Calibri"/>
        </w:rPr>
        <w:t xml:space="preserve"> transactions and callback instead of predefined physical pins. Instead of using the signals on physical pins, the DisplayPort VIP provides callbacks and transactions. </w:t>
      </w:r>
      <w:r w:rsidRPr="2618C875" w:rsidR="002A58F8">
        <w:rPr>
          <w:rFonts w:ascii="Calibri" w:hAnsi="Calibri" w:eastAsia="Times New Roman" w:cs="Calibri"/>
        </w:rPr>
        <w:t>User</w:t>
      </w:r>
      <w:r w:rsidRPr="2618C875" w:rsidR="002A58F8">
        <w:rPr>
          <w:rFonts w:ascii="Calibri" w:hAnsi="Calibri" w:eastAsia="Times New Roman" w:cs="Calibri"/>
        </w:rPr>
        <w:t xml:space="preserve"> can use callbacks and transactions to access the data and </w:t>
      </w:r>
      <w:r w:rsidRPr="2618C875" w:rsidR="002A58F8">
        <w:rPr>
          <w:rFonts w:ascii="Calibri" w:hAnsi="Calibri" w:eastAsia="Times New Roman" w:cs="Calibri"/>
        </w:rPr>
        <w:t>modify</w:t>
      </w:r>
      <w:r w:rsidRPr="2618C875" w:rsidR="002A58F8">
        <w:rPr>
          <w:rFonts w:ascii="Calibri" w:hAnsi="Calibri" w:eastAsia="Times New Roman" w:cs="Calibri"/>
        </w:rPr>
        <w:t xml:space="preserve"> a transaction inside of VIP</w:t>
      </w:r>
      <w:r w:rsidRPr="2618C875" w:rsidR="005533A5">
        <w:rPr>
          <w:rFonts w:ascii="Calibri" w:hAnsi="Calibri" w:eastAsia="Times New Roman" w:cs="Calibri"/>
        </w:rPr>
        <w:t xml:space="preserve">. This provides flexibility to </w:t>
      </w:r>
      <w:r w:rsidRPr="2618C875" w:rsidR="005533A5">
        <w:rPr>
          <w:rFonts w:ascii="Calibri" w:hAnsi="Calibri" w:eastAsia="Times New Roman" w:cs="Calibri"/>
        </w:rPr>
        <w:t>user</w:t>
      </w:r>
      <w:r w:rsidRPr="2618C875" w:rsidR="005533A5">
        <w:rPr>
          <w:rFonts w:ascii="Calibri" w:hAnsi="Calibri" w:eastAsia="Times New Roman" w:cs="Calibri"/>
        </w:rPr>
        <w:t xml:space="preserve">. </w:t>
      </w:r>
    </w:p>
    <w:p w:rsidR="005533A5" w:rsidP="005533A5" w:rsidRDefault="007D13D9" w14:paraId="4683305F" w14:textId="54CC4E8D">
      <w:pPr>
        <w:rPr>
          <w:rFonts w:ascii="Calibri" w:hAnsi="Calibri" w:eastAsia="Times New Roman" w:cs="Calibri"/>
        </w:rPr>
      </w:pPr>
      <w:r>
        <w:rPr>
          <w:rFonts w:ascii="Calibri" w:hAnsi="Calibri" w:eastAsia="Times New Roman" w:cs="Calibri"/>
        </w:rPr>
        <w:t>Below is the test topolog</w:t>
      </w:r>
      <w:r w:rsidR="00EC1B6A">
        <w:rPr>
          <w:rFonts w:ascii="Calibri" w:hAnsi="Calibri" w:eastAsia="Times New Roman" w:cs="Calibri"/>
        </w:rPr>
        <w:t>y</w:t>
      </w:r>
      <w:r>
        <w:rPr>
          <w:rFonts w:ascii="Calibri" w:hAnsi="Calibri" w:eastAsia="Times New Roman" w:cs="Calibri"/>
        </w:rPr>
        <w:t xml:space="preserve"> of</w:t>
      </w:r>
      <w:r w:rsidR="005533A5">
        <w:rPr>
          <w:rFonts w:ascii="Calibri" w:hAnsi="Calibri" w:eastAsia="Times New Roman" w:cs="Calibri"/>
        </w:rPr>
        <w:t xml:space="preserve"> Source VIP connect</w:t>
      </w:r>
      <w:r w:rsidR="00457F50">
        <w:rPr>
          <w:rFonts w:ascii="Calibri" w:hAnsi="Calibri" w:eastAsia="Times New Roman" w:cs="Calibri"/>
        </w:rPr>
        <w:t>ing</w:t>
      </w:r>
      <w:r w:rsidR="005533A5">
        <w:rPr>
          <w:rFonts w:ascii="Calibri" w:hAnsi="Calibri" w:eastAsia="Times New Roman" w:cs="Calibri"/>
        </w:rPr>
        <w:t xml:space="preserve"> to Sink DUT without the pin interface. </w:t>
      </w:r>
    </w:p>
    <w:p w:rsidR="005533A5" w:rsidP="005533A5" w:rsidRDefault="005533A5" w14:paraId="06C19C6D" w14:textId="691B294D">
      <w:pPr>
        <w:rPr>
          <w:rFonts w:hint="eastAsia"/>
        </w:rPr>
      </w:pPr>
      <w:r>
        <w:t xml:space="preserve">Figure 1 is the flow with Source as VIP and Sink as DUT. In this scenario, Source VIP provides data in the form of transaction of pre-defined fields through callback. The predefined fields data masks or bundle to form customer defined pin interface in testbench. Special sideband signals are extracted from transaction fields also. DUT detects the data, control signals through defined pin interface. </w:t>
      </w:r>
    </w:p>
    <w:p w:rsidR="005533A5" w:rsidRDefault="00972ADA" w14:paraId="1762DB49" w14:textId="39788CF1">
      <w:pPr>
        <w:rPr>
          <w:rFonts w:ascii="Calibri" w:hAnsi="Calibri" w:eastAsia="Times New Roman" w:cs="Calibri"/>
        </w:rPr>
      </w:pPr>
      <w:commentRangeStart w:id="0"/>
      <w:commentRangeEnd w:id="0"/>
      <w:r>
        <w:rPr>
          <w:rStyle w:val="CommentReference"/>
        </w:rPr>
        <w:commentReference w:id="0"/>
      </w:r>
    </w:p>
    <w:p w:rsidR="00274A44" w:rsidRDefault="005533A5" w14:paraId="29C58394" w14:textId="6FE71886">
      <w:pPr>
        <w:rPr>
          <w:rFonts w:ascii="Calibri" w:hAnsi="Calibri" w:eastAsia="Times New Roman" w:cs="Calibri"/>
        </w:rPr>
      </w:pPr>
      <w:r>
        <w:rPr>
          <w:rFonts w:ascii="Calibri" w:hAnsi="Calibri" w:eastAsia="Times New Roman" w:cs="Calibri"/>
        </w:rPr>
        <w:t xml:space="preserve"> </w:t>
      </w:r>
      <w:r w:rsidRPr="0034280D" w:rsidR="0034280D">
        <w:rPr>
          <w:rFonts w:ascii="Calibri" w:hAnsi="Calibri" w:eastAsia="Times New Roman" w:cs="Calibri"/>
        </w:rPr>
        <w:drawing>
          <wp:inline distT="0" distB="0" distL="0" distR="0" wp14:anchorId="0FA4CEC2" wp14:editId="15DC3C8A">
            <wp:extent cx="3483096" cy="2624455"/>
            <wp:effectExtent l="0" t="0" r="0" b="4445"/>
            <wp:docPr id="231165544" name="Picture 2"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65544" name="Picture 2" descr="A diagram of a process&#10;&#10;Description automatically generated"/>
                    <pic:cNvPicPr/>
                  </pic:nvPicPr>
                  <pic:blipFill>
                    <a:blip r:embed="rId9"/>
                    <a:stretch>
                      <a:fillRect/>
                    </a:stretch>
                  </pic:blipFill>
                  <pic:spPr>
                    <a:xfrm>
                      <a:off x="0" y="0"/>
                      <a:ext cx="3545982" cy="2671839"/>
                    </a:xfrm>
                    <a:prstGeom prst="rect">
                      <a:avLst/>
                    </a:prstGeom>
                  </pic:spPr>
                </pic:pic>
              </a:graphicData>
            </a:graphic>
          </wp:inline>
        </w:drawing>
      </w:r>
    </w:p>
    <w:p w:rsidR="00274A44" w:rsidRDefault="00274A44" w14:paraId="027C2B76" w14:textId="77777777">
      <w:pPr>
        <w:rPr>
          <w:rFonts w:ascii="Calibri" w:hAnsi="Calibri" w:eastAsia="Times New Roman" w:cs="Calibri"/>
        </w:rPr>
      </w:pPr>
    </w:p>
    <w:p w:rsidR="002A58F8" w:rsidRDefault="005533A5" w14:paraId="7AF4EFEA" w14:textId="19558FD9">
      <w:pPr>
        <w:rPr>
          <w:rFonts w:ascii="Calibri" w:hAnsi="Calibri" w:eastAsia="Times New Roman" w:cs="Calibri"/>
        </w:rPr>
      </w:pPr>
      <w:r>
        <w:t xml:space="preserve">Figure 1: Source VIP connects to Sink DUT with </w:t>
      </w:r>
      <w:r>
        <w:rPr>
          <w:rFonts w:ascii="Calibri" w:hAnsi="Calibri" w:eastAsia="Times New Roman" w:cs="Calibri"/>
        </w:rPr>
        <w:t>The Transaction-Based Customized Interface</w:t>
      </w:r>
    </w:p>
    <w:p w:rsidR="00F236C6" w:rsidP="00F236C6" w:rsidRDefault="00F236C6" w14:paraId="391D2A3B" w14:textId="7B05AEB8">
      <w:pPr>
        <w:rPr>
          <w:rFonts w:ascii="Calibri" w:hAnsi="Calibri" w:eastAsia="Times New Roman" w:cs="Calibri"/>
          <w:b/>
          <w:bCs/>
          <w:sz w:val="32"/>
          <w:szCs w:val="32"/>
        </w:rPr>
      </w:pPr>
      <w:r>
        <w:rPr>
          <w:rFonts w:ascii="Calibri" w:hAnsi="Calibri" w:eastAsia="Times New Roman" w:cs="Calibri"/>
          <w:b/>
          <w:bCs/>
          <w:sz w:val="32"/>
          <w:szCs w:val="32"/>
        </w:rPr>
        <w:t>Example</w:t>
      </w:r>
    </w:p>
    <w:p w:rsidRPr="006D5188" w:rsidR="00F236C6" w:rsidP="00F236C6" w:rsidRDefault="2BCE9742" w14:paraId="1FF7163C" w14:textId="4CE383CA">
      <w:pPr>
        <w:rPr>
          <w:rFonts w:ascii="Calibri" w:hAnsi="Calibri" w:eastAsia="Times New Roman" w:cs="Calibri"/>
          <w:b/>
          <w:bCs/>
          <w:sz w:val="28"/>
          <w:szCs w:val="28"/>
        </w:rPr>
      </w:pPr>
      <w:r w:rsidRPr="4BDF903F">
        <w:rPr>
          <w:rFonts w:ascii="Calibri" w:hAnsi="Calibri" w:eastAsia="Times New Roman" w:cs="Calibri"/>
          <w:b/>
          <w:bCs/>
          <w:sz w:val="28"/>
          <w:szCs w:val="28"/>
        </w:rPr>
        <w:t>Interface#1</w:t>
      </w:r>
      <w:r w:rsidRPr="4BDF903F" w:rsidR="006D5188">
        <w:rPr>
          <w:rFonts w:ascii="Calibri" w:hAnsi="Calibri" w:eastAsia="Times New Roman" w:cs="Calibri"/>
          <w:b/>
          <w:bCs/>
          <w:sz w:val="28"/>
          <w:szCs w:val="28"/>
        </w:rPr>
        <w:t xml:space="preserve"> </w:t>
      </w:r>
      <w:r w:rsidR="00555EBF">
        <w:rPr>
          <w:rFonts w:ascii="Calibri" w:hAnsi="Calibri" w:eastAsia="Times New Roman" w:cs="Calibri"/>
          <w:b/>
          <w:bCs/>
          <w:sz w:val="28"/>
          <w:szCs w:val="28"/>
        </w:rPr>
        <w:t>–</w:t>
      </w:r>
      <w:r w:rsidRPr="4BDF903F" w:rsidR="2AE8B20A">
        <w:rPr>
          <w:rFonts w:ascii="Calibri" w:hAnsi="Calibri" w:eastAsia="Times New Roman" w:cs="Calibri"/>
          <w:b/>
          <w:bCs/>
          <w:sz w:val="28"/>
          <w:szCs w:val="28"/>
        </w:rPr>
        <w:t xml:space="preserve"> </w:t>
      </w:r>
      <w:commentRangeStart w:id="1"/>
      <w:r w:rsidRPr="4BDF903F" w:rsidR="006D5188">
        <w:rPr>
          <w:rFonts w:ascii="Calibri" w:hAnsi="Calibri" w:eastAsia="Times New Roman" w:cs="Calibri"/>
          <w:b/>
          <w:bCs/>
          <w:sz w:val="28"/>
          <w:szCs w:val="28"/>
        </w:rPr>
        <w:t>32</w:t>
      </w:r>
      <w:r w:rsidR="00555EBF">
        <w:rPr>
          <w:rFonts w:ascii="Calibri" w:hAnsi="Calibri" w:eastAsia="Times New Roman" w:cs="Calibri"/>
          <w:b/>
          <w:bCs/>
          <w:sz w:val="28"/>
          <w:szCs w:val="28"/>
        </w:rPr>
        <w:t>-</w:t>
      </w:r>
      <w:r w:rsidRPr="4BDF903F" w:rsidR="006D5188">
        <w:rPr>
          <w:rFonts w:ascii="Calibri" w:hAnsi="Calibri" w:eastAsia="Times New Roman" w:cs="Calibri"/>
          <w:b/>
          <w:bCs/>
          <w:sz w:val="28"/>
          <w:szCs w:val="28"/>
        </w:rPr>
        <w:t>bit Parallel Interface</w:t>
      </w:r>
      <w:commentRangeEnd w:id="1"/>
      <w:r w:rsidR="006D5188">
        <w:rPr>
          <w:rStyle w:val="CommentReference"/>
        </w:rPr>
        <w:commentReference w:id="1"/>
      </w:r>
    </w:p>
    <w:p w:rsidR="00A36534" w:rsidRDefault="00DF7E74" w14:paraId="603F0E12" w14:textId="77777777">
      <w:pPr>
        <w:rPr>
          <w:rFonts w:ascii="Calibri" w:hAnsi="Calibri" w:eastAsia="Times New Roman" w:cs="Calibri"/>
        </w:rPr>
      </w:pPr>
      <w:r>
        <w:rPr>
          <w:rFonts w:ascii="Calibri" w:hAnsi="Calibri" w:eastAsia="Times New Roman" w:cs="Calibri"/>
        </w:rPr>
        <w:t>In 128b/132b channel coding, c</w:t>
      </w:r>
      <w:r w:rsidR="006448B3">
        <w:rPr>
          <w:rFonts w:ascii="Calibri" w:hAnsi="Calibri" w:eastAsia="Times New Roman" w:cs="Calibri"/>
        </w:rPr>
        <w:t xml:space="preserve">ustomer request 32bit parallel interface instead of transmitting/receiving 1 bit at a time </w:t>
      </w:r>
      <w:proofErr w:type="gramStart"/>
      <w:r w:rsidR="00972AF3">
        <w:rPr>
          <w:rFonts w:ascii="Calibri" w:hAnsi="Calibri" w:eastAsia="Times New Roman" w:cs="Calibri"/>
        </w:rPr>
        <w:t>in order to</w:t>
      </w:r>
      <w:proofErr w:type="gramEnd"/>
      <w:r w:rsidR="00972AF3">
        <w:rPr>
          <w:rFonts w:ascii="Calibri" w:hAnsi="Calibri" w:eastAsia="Times New Roman" w:cs="Calibri"/>
        </w:rPr>
        <w:t xml:space="preserve"> fasten simulation time without serialization block. </w:t>
      </w:r>
      <w:r w:rsidR="00590BA4">
        <w:rPr>
          <w:rFonts w:ascii="Calibri" w:hAnsi="Calibri" w:eastAsia="Times New Roman" w:cs="Calibri"/>
        </w:rPr>
        <w:t>From the spec, each block has 132bit (FEC disabled) or 129bit</w:t>
      </w:r>
      <w:r w:rsidR="00935DD1">
        <w:rPr>
          <w:rFonts w:ascii="Calibri" w:hAnsi="Calibri" w:eastAsia="Times New Roman" w:cs="Calibri"/>
        </w:rPr>
        <w:t xml:space="preserve"> (FEC enabled). This nature block is not aligned with 32bit requirement. Blocks need to break to 32bits. </w:t>
      </w:r>
      <w:r w:rsidR="00D84966">
        <w:rPr>
          <w:rFonts w:ascii="Calibri" w:hAnsi="Calibri" w:eastAsia="Times New Roman" w:cs="Calibri"/>
        </w:rPr>
        <w:t xml:space="preserve">In the traditional way, VIP need to </w:t>
      </w:r>
      <w:r w:rsidR="00BB3060">
        <w:rPr>
          <w:rFonts w:ascii="Calibri" w:hAnsi="Calibri" w:eastAsia="Times New Roman" w:cs="Calibri"/>
        </w:rPr>
        <w:t xml:space="preserve">create new physical interface, </w:t>
      </w:r>
      <w:r w:rsidR="00D84966">
        <w:rPr>
          <w:rFonts w:ascii="Calibri" w:hAnsi="Calibri" w:eastAsia="Times New Roman" w:cs="Calibri"/>
        </w:rPr>
        <w:t xml:space="preserve">serialize the block first and reform it to aligned as 32bit symbols. </w:t>
      </w:r>
      <w:r w:rsidR="00BB3060">
        <w:rPr>
          <w:rFonts w:ascii="Calibri" w:hAnsi="Calibri" w:eastAsia="Times New Roman" w:cs="Calibri"/>
        </w:rPr>
        <w:t>In the proposed way, VIP provides the transaction and TB align</w:t>
      </w:r>
      <w:r w:rsidR="007A1C05">
        <w:rPr>
          <w:rFonts w:ascii="Calibri" w:hAnsi="Calibri" w:eastAsia="Times New Roman" w:cs="Calibri"/>
        </w:rPr>
        <w:t xml:space="preserve"> it to 32bits symbol and no need to create physical interface. Below is the figure</w:t>
      </w:r>
      <w:r w:rsidR="00380561">
        <w:rPr>
          <w:rFonts w:ascii="Calibri" w:hAnsi="Calibri" w:eastAsia="Times New Roman" w:cs="Calibri"/>
        </w:rPr>
        <w:t xml:space="preserve"> to illustrate </w:t>
      </w:r>
      <w:r w:rsidR="00023031">
        <w:rPr>
          <w:rFonts w:ascii="Calibri" w:hAnsi="Calibri" w:eastAsia="Times New Roman" w:cs="Calibri"/>
        </w:rPr>
        <w:t xml:space="preserve">that </w:t>
      </w:r>
      <w:r w:rsidR="001A0D30">
        <w:rPr>
          <w:rFonts w:ascii="Calibri" w:hAnsi="Calibri" w:eastAsia="Times New Roman" w:cs="Calibri"/>
        </w:rPr>
        <w:t xml:space="preserve">VIP </w:t>
      </w:r>
      <w:proofErr w:type="gramStart"/>
      <w:r w:rsidR="001A0D30">
        <w:rPr>
          <w:rFonts w:ascii="Calibri" w:hAnsi="Calibri" w:eastAsia="Times New Roman" w:cs="Calibri"/>
        </w:rPr>
        <w:t>is able to</w:t>
      </w:r>
      <w:proofErr w:type="gramEnd"/>
      <w:r w:rsidR="001A0D30">
        <w:rPr>
          <w:rFonts w:ascii="Calibri" w:hAnsi="Calibri" w:eastAsia="Times New Roman" w:cs="Calibri"/>
        </w:rPr>
        <w:t xml:space="preserve"> provide 32bit data </w:t>
      </w:r>
      <w:r w:rsidR="00023031">
        <w:rPr>
          <w:rFonts w:ascii="Calibri" w:hAnsi="Calibri" w:eastAsia="Times New Roman" w:cs="Calibri"/>
        </w:rPr>
        <w:t>from Transact</w:t>
      </w:r>
      <w:r w:rsidR="00DA29E6">
        <w:rPr>
          <w:rFonts w:ascii="Calibri" w:hAnsi="Calibri" w:eastAsia="Times New Roman" w:cs="Calibri"/>
        </w:rPr>
        <w:t>ion based</w:t>
      </w:r>
      <w:r w:rsidR="00A36534">
        <w:rPr>
          <w:rFonts w:ascii="Calibri" w:hAnsi="Calibri" w:eastAsia="Times New Roman" w:cs="Calibri"/>
        </w:rPr>
        <w:t xml:space="preserve"> interface.</w:t>
      </w:r>
    </w:p>
    <w:p w:rsidR="00F236C6" w:rsidRDefault="0034280D" w14:paraId="1EE7AE79" w14:textId="1E0C7DB3">
      <w:pPr>
        <w:rPr>
          <w:rFonts w:ascii="Calibri" w:hAnsi="Calibri" w:eastAsia="Times New Roman" w:cs="Calibri"/>
        </w:rPr>
      </w:pPr>
      <w:r>
        <w:rPr>
          <w:rFonts w:ascii="Calibri" w:hAnsi="Calibri" w:eastAsia="Times New Roman" w:cs="Calibri"/>
          <w:noProof/>
        </w:rPr>
        <w:drawing>
          <wp:inline distT="0" distB="0" distL="0" distR="0" wp14:anchorId="37A93968" wp14:editId="073CBBD5">
            <wp:extent cx="4004945" cy="3148049"/>
            <wp:effectExtent l="0" t="0" r="0" b="1905"/>
            <wp:docPr id="7087355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38367"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004945" cy="3148049"/>
                    </a:xfrm>
                    <a:prstGeom prst="rect">
                      <a:avLst/>
                    </a:prstGeom>
                  </pic:spPr>
                </pic:pic>
              </a:graphicData>
            </a:graphic>
          </wp:inline>
        </w:drawing>
      </w:r>
      <w:r w:rsidR="00023031">
        <w:rPr>
          <w:rFonts w:ascii="Calibri" w:hAnsi="Calibri" w:eastAsia="Times New Roman" w:cs="Calibri"/>
        </w:rPr>
        <w:t xml:space="preserve"> </w:t>
      </w:r>
    </w:p>
    <w:p w:rsidR="007A1C05" w:rsidRDefault="007A1C05" w14:paraId="52D488A4" w14:textId="05FBB39A">
      <w:pPr>
        <w:rPr>
          <w:rFonts w:ascii="Calibri" w:hAnsi="Calibri" w:eastAsia="Times New Roman" w:cs="Calibri"/>
        </w:rPr>
      </w:pPr>
    </w:p>
    <w:p w:rsidR="001B0906" w:rsidP="4BDF903F" w:rsidRDefault="00232038" w14:paraId="2C8AB582" w14:textId="25485721">
      <w:pPr>
        <w:rPr>
          <w:rFonts w:ascii="Calibri" w:hAnsi="Calibri" w:eastAsia="Times New Roman" w:cs="Calibri"/>
          <w:b/>
          <w:bCs/>
          <w:sz w:val="28"/>
          <w:szCs w:val="28"/>
        </w:rPr>
      </w:pPr>
      <w:r>
        <w:t xml:space="preserve">Figure 2: </w:t>
      </w:r>
      <w:r w:rsidR="00C261FD">
        <w:t>Customized 32bits parallel interface</w:t>
      </w:r>
      <w:r>
        <w:t xml:space="preserve"> </w:t>
      </w:r>
    </w:p>
    <w:p w:rsidR="001B0906" w:rsidP="001B0906" w:rsidRDefault="4BA0ABF7" w14:paraId="12CB445F" w14:textId="5A7E8FE7">
      <w:pPr>
        <w:rPr>
          <w:rFonts w:ascii="Calibri" w:hAnsi="Calibri" w:eastAsia="Times New Roman" w:cs="Calibri"/>
          <w:b/>
          <w:bCs/>
          <w:sz w:val="28"/>
          <w:szCs w:val="28"/>
        </w:rPr>
      </w:pPr>
      <w:commentRangeStart w:id="2"/>
      <w:r w:rsidRPr="4BDF903F">
        <w:rPr>
          <w:rFonts w:ascii="Calibri" w:hAnsi="Calibri" w:eastAsia="Times New Roman" w:cs="Calibri"/>
          <w:b/>
          <w:bCs/>
          <w:sz w:val="28"/>
          <w:szCs w:val="28"/>
        </w:rPr>
        <w:t>Interface#2</w:t>
      </w:r>
      <w:commentRangeEnd w:id="2"/>
      <w:r w:rsidR="001B0906">
        <w:rPr>
          <w:rStyle w:val="CommentReference"/>
        </w:rPr>
        <w:commentReference w:id="2"/>
      </w:r>
      <w:r w:rsidRPr="4BDF903F">
        <w:rPr>
          <w:rFonts w:ascii="Calibri" w:hAnsi="Calibri" w:eastAsia="Times New Roman" w:cs="Calibri"/>
          <w:b/>
          <w:bCs/>
          <w:sz w:val="28"/>
          <w:szCs w:val="28"/>
        </w:rPr>
        <w:t xml:space="preserve"> - </w:t>
      </w:r>
    </w:p>
    <w:p w:rsidRPr="00751AB5" w:rsidR="00751AB5" w:rsidP="001B0906" w:rsidRDefault="784456D7" w14:paraId="191998D5" w14:textId="75E52984">
      <w:pPr>
        <w:rPr>
          <w:rFonts w:ascii="Calibri" w:hAnsi="Calibri" w:eastAsia="Times New Roman" w:cs="Calibri"/>
        </w:rPr>
      </w:pPr>
      <w:r w:rsidRPr="4BDF903F">
        <w:rPr>
          <w:rFonts w:ascii="Calibri" w:hAnsi="Calibri" w:eastAsia="Times New Roman" w:cs="Calibri"/>
        </w:rPr>
        <w:t>Another interface is designed w</w:t>
      </w:r>
      <w:r w:rsidRPr="4BDF903F" w:rsidR="2B0098DA">
        <w:rPr>
          <w:rFonts w:ascii="Calibri" w:hAnsi="Calibri" w:eastAsia="Times New Roman" w:cs="Calibri"/>
        </w:rPr>
        <w:t xml:space="preserve">ith </w:t>
      </w:r>
      <w:r w:rsidRPr="4BDF903F" w:rsidR="083140CB">
        <w:rPr>
          <w:rFonts w:ascii="Calibri" w:hAnsi="Calibri" w:eastAsia="Times New Roman" w:cs="Calibri"/>
        </w:rPr>
        <w:t>Transaction-Based</w:t>
      </w:r>
      <w:r w:rsidRPr="4BDF903F" w:rsidR="6F75E94E">
        <w:rPr>
          <w:rFonts w:ascii="Calibri" w:hAnsi="Calibri" w:eastAsia="Times New Roman" w:cs="Calibri"/>
        </w:rPr>
        <w:t xml:space="preserve"> interface</w:t>
      </w:r>
      <w:r w:rsidRPr="4BDF903F" w:rsidR="3F19BAA9">
        <w:rPr>
          <w:rFonts w:ascii="Calibri" w:hAnsi="Calibri" w:eastAsia="Times New Roman" w:cs="Calibri"/>
        </w:rPr>
        <w:t>.</w:t>
      </w:r>
      <w:r w:rsidRPr="4BDF903F" w:rsidR="6F75E94E">
        <w:rPr>
          <w:rFonts w:ascii="Calibri" w:hAnsi="Calibri" w:eastAsia="Times New Roman" w:cs="Calibri"/>
        </w:rPr>
        <w:t xml:space="preserve"> </w:t>
      </w:r>
      <w:commentRangeStart w:id="3"/>
      <w:r w:rsidRPr="4BDF903F" w:rsidR="6F75E94E">
        <w:rPr>
          <w:rFonts w:ascii="Calibri" w:hAnsi="Calibri" w:eastAsia="Times New Roman" w:cs="Calibri"/>
        </w:rPr>
        <w:t>T</w:t>
      </w:r>
      <w:r w:rsidRPr="4BDF903F" w:rsidR="2A351934">
        <w:rPr>
          <w:rFonts w:ascii="Calibri" w:hAnsi="Calibri" w:eastAsia="Times New Roman" w:cs="Calibri"/>
        </w:rPr>
        <w:t>est</w:t>
      </w:r>
      <w:r w:rsidRPr="4BDF903F" w:rsidR="4BEA20ED">
        <w:rPr>
          <w:rFonts w:ascii="Calibri" w:hAnsi="Calibri" w:eastAsia="Times New Roman" w:cs="Calibri"/>
        </w:rPr>
        <w:t>b</w:t>
      </w:r>
      <w:r w:rsidRPr="4BDF903F" w:rsidR="2A351934">
        <w:rPr>
          <w:rFonts w:ascii="Calibri" w:hAnsi="Calibri" w:eastAsia="Times New Roman" w:cs="Calibri"/>
        </w:rPr>
        <w:t>ench</w:t>
      </w:r>
      <w:r w:rsidRPr="4BDF903F" w:rsidR="6F75E94E">
        <w:rPr>
          <w:rFonts w:ascii="Calibri" w:hAnsi="Calibri" w:eastAsia="Times New Roman" w:cs="Calibri"/>
        </w:rPr>
        <w:t xml:space="preserve"> </w:t>
      </w:r>
      <w:commentRangeEnd w:id="3"/>
      <w:r w:rsidR="00751AB5">
        <w:rPr>
          <w:rStyle w:val="CommentReference"/>
        </w:rPr>
        <w:commentReference w:id="3"/>
      </w:r>
      <w:proofErr w:type="gramStart"/>
      <w:r w:rsidRPr="4BDF903F" w:rsidR="6F75E94E">
        <w:rPr>
          <w:rFonts w:ascii="Calibri" w:hAnsi="Calibri" w:eastAsia="Times New Roman" w:cs="Calibri"/>
        </w:rPr>
        <w:t>is able to</w:t>
      </w:r>
      <w:proofErr w:type="gramEnd"/>
      <w:r w:rsidRPr="4BDF903F" w:rsidR="6F75E94E">
        <w:rPr>
          <w:rFonts w:ascii="Calibri" w:hAnsi="Calibri" w:eastAsia="Times New Roman" w:cs="Calibri"/>
        </w:rPr>
        <w:t xml:space="preserve"> </w:t>
      </w:r>
      <w:r w:rsidRPr="4BDF903F" w:rsidR="2B0098DA">
        <w:rPr>
          <w:rFonts w:ascii="Calibri" w:hAnsi="Calibri" w:eastAsia="Times New Roman" w:cs="Calibri"/>
        </w:rPr>
        <w:t>extraction from transactions and fields</w:t>
      </w:r>
      <w:r w:rsidRPr="4BDF903F" w:rsidR="083140CB">
        <w:rPr>
          <w:rFonts w:ascii="Calibri" w:hAnsi="Calibri" w:eastAsia="Times New Roman" w:cs="Calibri"/>
        </w:rPr>
        <w:t xml:space="preserve"> </w:t>
      </w:r>
      <w:r w:rsidRPr="4BDF903F" w:rsidR="6F75E94E">
        <w:rPr>
          <w:rFonts w:ascii="Calibri" w:hAnsi="Calibri" w:eastAsia="Times New Roman" w:cs="Calibri"/>
        </w:rPr>
        <w:t xml:space="preserve">to </w:t>
      </w:r>
      <w:r w:rsidRPr="4BDF903F" w:rsidR="083140CB">
        <w:rPr>
          <w:rFonts w:ascii="Calibri" w:hAnsi="Calibri" w:eastAsia="Times New Roman" w:cs="Calibri"/>
        </w:rPr>
        <w:t xml:space="preserve">generate data and control signals </w:t>
      </w:r>
      <w:r w:rsidRPr="4BDF903F" w:rsidR="6F75E94E">
        <w:rPr>
          <w:rFonts w:ascii="Calibri" w:hAnsi="Calibri" w:eastAsia="Times New Roman" w:cs="Calibri"/>
        </w:rPr>
        <w:t>as they request.</w:t>
      </w:r>
    </w:p>
    <w:p w:rsidR="001B0906" w:rsidRDefault="00011BEC" w14:paraId="7AAB8FD9" w14:textId="0FDCB378">
      <w:pPr>
        <w:rPr>
          <w:rFonts w:ascii="Calibri" w:hAnsi="Calibri" w:eastAsia="Times New Roman" w:cs="Calibri"/>
        </w:rPr>
      </w:pPr>
      <w:r>
        <w:rPr>
          <w:rFonts w:ascii="Calibri" w:hAnsi="Calibri" w:eastAsia="Times New Roman" w:cs="Calibri"/>
          <w:noProof/>
        </w:rPr>
        <w:drawing>
          <wp:inline distT="0" distB="0" distL="0" distR="0" wp14:anchorId="20DDC44F" wp14:editId="18BACDC9">
            <wp:extent cx="5943600" cy="2127250"/>
            <wp:effectExtent l="0" t="0" r="0" b="6350"/>
            <wp:docPr id="2109002052"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02052" name="Picture 2" descr="A diagram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127250"/>
                    </a:xfrm>
                    <a:prstGeom prst="rect">
                      <a:avLst/>
                    </a:prstGeom>
                  </pic:spPr>
                </pic:pic>
              </a:graphicData>
            </a:graphic>
          </wp:inline>
        </w:drawing>
      </w:r>
    </w:p>
    <w:p w:rsidR="00232038" w:rsidP="00232038" w:rsidRDefault="00232038" w14:paraId="5B01E1CF" w14:textId="610DB830">
      <w:pPr>
        <w:rPr>
          <w:rFonts w:ascii="Calibri" w:hAnsi="Calibri" w:eastAsia="Times New Roman" w:cs="Calibri"/>
        </w:rPr>
      </w:pPr>
      <w:r>
        <w:t xml:space="preserve">Figure 3: </w:t>
      </w:r>
      <w:r w:rsidR="00C261FD">
        <w:t>Customized CIO interface</w:t>
      </w:r>
    </w:p>
    <w:p w:rsidR="00F62741" w:rsidP="00F62741" w:rsidRDefault="00F62741" w14:paraId="24A1EAD3" w14:textId="6A9B54F3">
      <w:pPr>
        <w:rPr>
          <w:rFonts w:ascii="Calibri" w:hAnsi="Calibri" w:eastAsia="Times New Roman" w:cs="Calibri"/>
          <w:b/>
          <w:bCs/>
          <w:sz w:val="32"/>
          <w:szCs w:val="32"/>
        </w:rPr>
      </w:pPr>
      <w:r>
        <w:rPr>
          <w:rFonts w:ascii="Calibri" w:hAnsi="Calibri" w:eastAsia="Times New Roman" w:cs="Calibri"/>
          <w:b/>
          <w:bCs/>
          <w:sz w:val="32"/>
          <w:szCs w:val="32"/>
        </w:rPr>
        <w:t>Conclusion</w:t>
      </w:r>
    </w:p>
    <w:p w:rsidR="00C13625" w:rsidP="00C13625" w:rsidRDefault="00C13625" w14:paraId="47FA74DC" w14:textId="7856B57D">
      <w:pPr>
        <w:rPr>
          <w:rFonts w:ascii="Calibri" w:hAnsi="Calibri" w:eastAsia="Times New Roman" w:cs="Calibri"/>
        </w:rPr>
      </w:pPr>
      <w:r>
        <w:rPr>
          <w:rFonts w:ascii="Calibri" w:hAnsi="Calibri" w:eastAsia="Times New Roman" w:cs="Calibri"/>
        </w:rPr>
        <w:t xml:space="preserve">The DisplayPort VIP Transaction-Based interface supports both 128b/132b channel coding and 8b/10b channel coding, with different feature, such as </w:t>
      </w:r>
      <w:proofErr w:type="gramStart"/>
      <w:r>
        <w:rPr>
          <w:rFonts w:ascii="Calibri" w:hAnsi="Calibri" w:eastAsia="Times New Roman" w:cs="Calibri"/>
        </w:rPr>
        <w:t>ALPM(</w:t>
      </w:r>
      <w:proofErr w:type="gramEnd"/>
      <w:r>
        <w:rPr>
          <w:rFonts w:ascii="Calibri" w:hAnsi="Calibri" w:eastAsia="Times New Roman" w:cs="Calibri"/>
        </w:rPr>
        <w:t xml:space="preserve">Advanced Link Power Management), FEC(Forward Error Correction). User can verify their RTL designs with difference interfaces using Transaction-Based interface. In 128b/132b channel coding, user can configure to symbol based 32bits interface, or super symbol based 132bit etc. In 8b/10b channel coding, user can configure to include or not include skew, FEC </w:t>
      </w:r>
      <w:proofErr w:type="spellStart"/>
      <w:r>
        <w:rPr>
          <w:rFonts w:ascii="Calibri" w:hAnsi="Calibri" w:eastAsia="Times New Roman" w:cs="Calibri"/>
        </w:rPr>
        <w:t>ect</w:t>
      </w:r>
      <w:proofErr w:type="spellEnd"/>
      <w:r>
        <w:rPr>
          <w:rFonts w:ascii="Calibri" w:hAnsi="Calibri" w:eastAsia="Times New Roman" w:cs="Calibri"/>
        </w:rPr>
        <w:t xml:space="preserve">. User can also configure to switch between 8b/10b channel and 128b/132bit channel. </w:t>
      </w:r>
    </w:p>
    <w:p w:rsidRPr="00530727" w:rsidR="00F46BE3" w:rsidP="00F46BE3" w:rsidRDefault="00535A62" w14:paraId="01F4E5EC" w14:textId="5B1DD76C">
      <w:pPr>
        <w:tabs>
          <w:tab w:val="left" w:pos="7620"/>
        </w:tabs>
        <w:rPr>
          <w:rFonts w:hint="eastAsia"/>
        </w:rPr>
      </w:pPr>
      <w:r w:rsidRPr="00F46BE3">
        <w:rPr>
          <w:rFonts w:ascii="Calibri" w:hAnsi="Calibri" w:eastAsia="Times New Roman" w:cs="Calibri"/>
        </w:rPr>
        <w:t xml:space="preserve">This Transaction-Based </w:t>
      </w:r>
      <w:r w:rsidRPr="00F46BE3" w:rsidR="00661EAD">
        <w:rPr>
          <w:rFonts w:ascii="Calibri" w:hAnsi="Calibri" w:eastAsia="Times New Roman" w:cs="Calibri"/>
        </w:rPr>
        <w:t xml:space="preserve">customer interface </w:t>
      </w:r>
      <w:r w:rsidRPr="00F46BE3" w:rsidR="0075181A">
        <w:rPr>
          <w:rFonts w:ascii="Calibri" w:hAnsi="Calibri" w:eastAsia="Times New Roman" w:cs="Calibri"/>
        </w:rPr>
        <w:t xml:space="preserve">can support </w:t>
      </w:r>
      <w:r w:rsidRPr="00F46BE3" w:rsidR="001F4220">
        <w:rPr>
          <w:rFonts w:ascii="Calibri" w:hAnsi="Calibri" w:eastAsia="Times New Roman" w:cs="Calibri"/>
        </w:rPr>
        <w:t>all customer’s specific parallel interface</w:t>
      </w:r>
      <w:r w:rsidRPr="00F46BE3" w:rsidR="00BC6794">
        <w:rPr>
          <w:rFonts w:ascii="Calibri" w:hAnsi="Calibri" w:eastAsia="Times New Roman" w:cs="Calibri"/>
        </w:rPr>
        <w:t>.</w:t>
      </w:r>
      <w:r w:rsidR="00BC6794">
        <w:rPr>
          <w:rFonts w:ascii="Calibri" w:hAnsi="Calibri" w:eastAsia="Times New Roman" w:cs="Calibri"/>
          <w:b/>
          <w:bCs/>
        </w:rPr>
        <w:t xml:space="preserve"> </w:t>
      </w:r>
      <w:r w:rsidR="00F46BE3">
        <w:t>The interface is compatible with all customer’s specific parallel interface</w:t>
      </w:r>
      <w:r w:rsidR="00232038">
        <w:t xml:space="preserve"> to </w:t>
      </w:r>
      <w:r w:rsidR="00F46BE3">
        <w:t>fasten the integration and simulation time.</w:t>
      </w:r>
    </w:p>
    <w:p w:rsidRPr="00F62741" w:rsidR="00F62741" w:rsidP="00F62741" w:rsidRDefault="00F62741" w14:paraId="4F89ACB1" w14:textId="2B253579">
      <w:pPr>
        <w:rPr>
          <w:rFonts w:ascii="Calibri" w:hAnsi="Calibri" w:eastAsia="Times New Roman" w:cs="Calibri"/>
          <w:b/>
          <w:bCs/>
        </w:rPr>
      </w:pPr>
    </w:p>
    <w:p w:rsidRPr="00E76115" w:rsidR="00EB28BE" w:rsidP="00EB28BE" w:rsidRDefault="00F62741" w14:paraId="2BD1D3A9" w14:textId="4DA2C8CF">
      <w:pPr>
        <w:spacing w:before="300" w:after="140"/>
        <w:rPr>
          <w:rFonts w:ascii="Calibri" w:hAnsi="Calibri" w:eastAsia="Times New Roman" w:cs="Calibri"/>
          <w:color w:val="333333"/>
          <w:kern w:val="0"/>
          <w:sz w:val="28"/>
          <w:szCs w:val="28"/>
          <w14:ligatures w14:val="none"/>
        </w:rPr>
      </w:pPr>
      <w:commentRangeStart w:id="4"/>
      <w:commentRangeEnd w:id="4"/>
      <w:r>
        <w:rPr>
          <w:rStyle w:val="CommentReference"/>
        </w:rPr>
        <w:commentReference w:id="4"/>
      </w:r>
      <w:r w:rsidRPr="00EB28BE" w:rsidR="00EB28BE">
        <w:rPr>
          <w:rFonts w:ascii="Calibri" w:hAnsi="Calibri" w:eastAsia="Times New Roman" w:cs="Calibri"/>
          <w:b/>
          <w:bCs/>
          <w:color w:val="333333"/>
          <w:kern w:val="0"/>
          <w:sz w:val="28"/>
          <w:szCs w:val="28"/>
          <w:shd w:val="clear" w:color="auto" w:fill="FFFFFF"/>
          <w14:ligatures w14:val="none"/>
        </w:rPr>
        <w:t xml:space="preserve"> </w:t>
      </w:r>
      <w:r w:rsidRPr="00E76115" w:rsidR="00EB28BE">
        <w:rPr>
          <w:rFonts w:ascii="Calibri" w:hAnsi="Calibri" w:eastAsia="Times New Roman" w:cs="Calibri"/>
          <w:b/>
          <w:bCs/>
          <w:color w:val="333333"/>
          <w:kern w:val="0"/>
          <w:sz w:val="28"/>
          <w:szCs w:val="28"/>
          <w:shd w:val="clear" w:color="auto" w:fill="FFFFFF"/>
          <w14:ligatures w14:val="none"/>
        </w:rPr>
        <w:t>More Information:</w:t>
      </w:r>
    </w:p>
    <w:p w:rsidRPr="00E76115" w:rsidR="00EB28BE" w:rsidP="00EB28BE" w:rsidRDefault="00EB28BE" w14:paraId="2BB1BF8E" w14:textId="77777777">
      <w:pPr>
        <w:jc w:val="both"/>
        <w:rPr>
          <w:rFonts w:ascii="Calibri" w:hAnsi="Calibri" w:eastAsia="Times New Roman" w:cs="Calibri"/>
          <w:kern w:val="0"/>
          <w:sz w:val="22"/>
          <w:szCs w:val="22"/>
          <w14:ligatures w14:val="none"/>
        </w:rPr>
      </w:pPr>
      <w:r w:rsidRPr="00E76115">
        <w:rPr>
          <w:rFonts w:ascii="Calibri" w:hAnsi="Calibri" w:eastAsia="Times New Roman" w:cs="Calibri"/>
          <w:kern w:val="0"/>
          <w:sz w:val="22"/>
          <w:szCs w:val="22"/>
          <w14:ligatures w14:val="none"/>
        </w:rPr>
        <w:t xml:space="preserve">Cadence has a very mature Verification IP solution. Verification over many different configurations can be used with DisplayPort 2.1 and DisplayPort 1.4 designs, so you can choose the best version for your specific needs. The DisplayPort VIP provides a full-stack solution for Sink and Source devices with a comprehensive coverage model, protocol checkers and an extensive test suite. </w:t>
      </w:r>
    </w:p>
    <w:p w:rsidRPr="00511FDE" w:rsidR="00EB28BE" w:rsidP="00EB28BE" w:rsidRDefault="00EB28BE" w14:paraId="5D0E7729" w14:textId="77777777">
      <w:pPr>
        <w:jc w:val="both"/>
        <w:rPr>
          <w:rFonts w:ascii="Calibri" w:hAnsi="Calibri" w:eastAsia="Times New Roman" w:cs="Calibri"/>
          <w:kern w:val="0"/>
          <w:sz w:val="22"/>
          <w:szCs w:val="22"/>
          <w14:ligatures w14:val="none"/>
        </w:rPr>
      </w:pPr>
      <w:r w:rsidRPr="00E76115">
        <w:rPr>
          <w:rFonts w:ascii="Calibri" w:hAnsi="Calibri" w:eastAsia="Times New Roman" w:cs="Calibri"/>
          <w:kern w:val="0"/>
          <w:sz w:val="22"/>
          <w:szCs w:val="22"/>
          <w14:ligatures w14:val="none"/>
        </w:rPr>
        <w:t>More details are available in</w:t>
      </w:r>
      <w:r w:rsidRPr="00E76115">
        <w:rPr>
          <w:rFonts w:ascii="Calibri" w:hAnsi="Calibri" w:eastAsia="Times New Roman" w:cs="Calibri"/>
          <w:kern w:val="0"/>
          <w:sz w:val="20"/>
          <w:szCs w:val="20"/>
          <w14:ligatures w14:val="none"/>
        </w:rPr>
        <w:t> </w:t>
      </w:r>
      <w:hyperlink w:history="1" r:id="rId12">
        <w:r w:rsidRPr="00E76115">
          <w:rPr>
            <w:rFonts w:ascii="Rubik-Light" w:hAnsi="Rubik-Light" w:eastAsia="Times New Roman" w:cs="Calibri"/>
            <w:color w:val="0000FF"/>
            <w:kern w:val="0"/>
            <w:sz w:val="20"/>
            <w:szCs w:val="20"/>
            <w:u w:val="single"/>
            <w:shd w:val="clear" w:color="auto" w:fill="FFFFFF"/>
            <w14:ligatures w14:val="none"/>
          </w:rPr>
          <w:t>DisplayPort Verification IP product page</w:t>
        </w:r>
      </w:hyperlink>
      <w:r w:rsidRPr="00E76115">
        <w:rPr>
          <w:rFonts w:ascii="Calibri" w:hAnsi="Calibri" w:eastAsia="Times New Roman" w:cs="Calibri"/>
          <w:kern w:val="0"/>
          <w:sz w:val="20"/>
          <w:szCs w:val="20"/>
          <w14:ligatures w14:val="none"/>
        </w:rPr>
        <w:t xml:space="preserve">, </w:t>
      </w:r>
      <w:hyperlink w:history="1" r:id="rId13">
        <w:r w:rsidRPr="00E76115">
          <w:rPr>
            <w:rFonts w:ascii="Rubik-Light" w:hAnsi="Rubik-Light" w:eastAsia="Times New Roman" w:cs="Calibri"/>
            <w:color w:val="0000FF"/>
            <w:kern w:val="0"/>
            <w:sz w:val="20"/>
            <w:szCs w:val="20"/>
            <w:u w:val="single"/>
            <w:shd w:val="clear" w:color="auto" w:fill="FFFFFF"/>
            <w14:ligatures w14:val="none"/>
          </w:rPr>
          <w:t>Simulation VIP</w:t>
        </w:r>
      </w:hyperlink>
      <w:r w:rsidRPr="00E76115">
        <w:rPr>
          <w:rFonts w:ascii="Calibri" w:hAnsi="Calibri" w:eastAsia="Times New Roman" w:cs="Calibri"/>
          <w:kern w:val="0"/>
          <w:sz w:val="22"/>
          <w:szCs w:val="22"/>
          <w14:ligatures w14:val="none"/>
        </w:rPr>
        <w:t xml:space="preserve"> pages</w:t>
      </w:r>
      <w:r w:rsidRPr="00E76115">
        <w:rPr>
          <w:rFonts w:ascii="Calibri" w:hAnsi="Calibri" w:eastAsia="Times New Roman" w:cs="Calibri"/>
          <w:kern w:val="0"/>
          <w:sz w:val="22"/>
          <w:szCs w:val="22"/>
          <w14:ligatures w14:val="none"/>
        </w:rPr>
        <w:br/>
      </w:r>
      <w:r w:rsidRPr="00E76115">
        <w:rPr>
          <w:rFonts w:ascii="Calibri" w:hAnsi="Calibri" w:eastAsia="Times New Roman" w:cs="Calibri"/>
          <w:kern w:val="0"/>
          <w:sz w:val="22"/>
          <w:szCs w:val="22"/>
          <w14:ligatures w14:val="none"/>
        </w:rPr>
        <w:t>If you have any queries, feel free to contact us at </w:t>
      </w:r>
      <w:hyperlink w:history="1" r:id="rId14">
        <w:r w:rsidRPr="00E76115">
          <w:rPr>
            <w:rFonts w:ascii="Calibri" w:hAnsi="Calibri" w:eastAsia="Times New Roman" w:cs="Calibri"/>
            <w:color w:val="0000FF"/>
            <w:kern w:val="0"/>
            <w:sz w:val="22"/>
            <w:szCs w:val="22"/>
            <w:u w:val="single"/>
            <w14:ligatures w14:val="none"/>
          </w:rPr>
          <w:t>talk_to_vip_expert@cadence.com</w:t>
        </w:r>
      </w:hyperlink>
    </w:p>
    <w:p w:rsidRPr="002A58F8" w:rsidR="00F62741" w:rsidRDefault="00F62741" w14:paraId="398E56BA" w14:textId="0EFE522A">
      <w:pPr>
        <w:rPr>
          <w:rFonts w:ascii="Calibri" w:hAnsi="Calibri" w:eastAsia="Times New Roman" w:cs="Calibri"/>
        </w:rPr>
      </w:pPr>
    </w:p>
    <w:sectPr w:rsidRPr="002A58F8" w:rsidR="00F62741" w:rsidSect="005A1DF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Y" w:author="Claire Ying" w:date="2024-11-07T19:59:00Z" w:id="0">
    <w:p w:rsidR="00972ADA" w:rsidP="00972ADA" w:rsidRDefault="00972ADA" w14:paraId="3B84B679" w14:textId="77777777">
      <w:pPr>
        <w:rPr>
          <w:rFonts w:hint="eastAsia"/>
        </w:rPr>
      </w:pPr>
      <w:r>
        <w:rPr>
          <w:rStyle w:val="CommentReference"/>
        </w:rPr>
        <w:annotationRef/>
      </w:r>
      <w:r>
        <w:rPr>
          <w:sz w:val="20"/>
          <w:szCs w:val="20"/>
        </w:rPr>
        <w:t>change text from white to black in diagram</w:t>
      </w:r>
    </w:p>
  </w:comment>
  <w:comment w:initials="CY" w:author="Claire Ying" w:date="2024-11-07T19:56:00Z" w:id="1">
    <w:p w:rsidR="00AC1DB5" w:rsidP="00AC1DB5" w:rsidRDefault="00AC1DB5" w14:paraId="6FA7A833" w14:textId="3A6FDBD3">
      <w:pPr>
        <w:rPr>
          <w:rFonts w:hint="eastAsia"/>
        </w:rPr>
      </w:pPr>
      <w:r>
        <w:rPr>
          <w:rStyle w:val="CommentReference"/>
        </w:rPr>
        <w:annotationRef/>
      </w:r>
      <w:r>
        <w:rPr>
          <w:sz w:val="20"/>
          <w:szCs w:val="20"/>
        </w:rPr>
        <w:t>say “Interface  #1”</w:t>
      </w:r>
    </w:p>
  </w:comment>
  <w:comment w:initials="CY" w:author="Claire Ying" w:date="2024-11-07T11:58:00Z" w:id="2">
    <w:p w:rsidR="00A36534" w:rsidRDefault="00A36534" w14:paraId="6F5E9BE2" w14:textId="6EAA126F">
      <w:pPr>
        <w:pStyle w:val="CommentText"/>
        <w:rPr>
          <w:rFonts w:hint="eastAsia"/>
        </w:rPr>
      </w:pPr>
      <w:r>
        <w:rPr>
          <w:rStyle w:val="CommentReference"/>
        </w:rPr>
        <w:annotationRef/>
      </w:r>
      <w:r w:rsidRPr="74D90D15">
        <w:t>“Interface #2” people may not know “CIO”, also rather than say “Customer defined” even not proprietary feature, let us just not mention customer.</w:t>
      </w:r>
    </w:p>
  </w:comment>
  <w:comment w:initials="XM" w:author="Xin Mu" w:date="2024-11-08T11:32:00Z" w:id="3">
    <w:p w:rsidR="00A36534" w:rsidRDefault="00A36534" w14:paraId="440F4777" w14:textId="383BBEFA">
      <w:pPr>
        <w:pStyle w:val="CommentText"/>
        <w:rPr>
          <w:rFonts w:hint="eastAsia"/>
        </w:rPr>
      </w:pPr>
      <w:r>
        <w:rPr>
          <w:rStyle w:val="CommentReference"/>
        </w:rPr>
        <w:annotationRef/>
      </w:r>
      <w:r w:rsidRPr="728DC3AA">
        <w:t>TB -&gt; Testbench</w:t>
      </w:r>
    </w:p>
  </w:comment>
  <w:comment w:initials="XM" w:author="Xin Mu" w:date="2024-11-08T11:33:00Z" w:id="4">
    <w:p w:rsidR="00A36534" w:rsidRDefault="00A36534" w14:paraId="40A68029" w14:textId="1E19EF80">
      <w:pPr>
        <w:pStyle w:val="CommentText"/>
        <w:rPr>
          <w:rFonts w:hint="eastAsia"/>
        </w:rPr>
      </w:pPr>
      <w:r>
        <w:rPr>
          <w:rStyle w:val="CommentReference"/>
        </w:rPr>
        <w:annotationRef/>
      </w:r>
      <w:r w:rsidRPr="32A57FF4">
        <w:t>at the end, will you add a similar section like this in PCIe:</w:t>
      </w:r>
    </w:p>
    <w:p w:rsidR="00A36534" w:rsidRDefault="00A36534" w14:paraId="531946C6" w14:textId="48797F4B">
      <w:pPr>
        <w:pStyle w:val="CommentText"/>
        <w:rPr>
          <w:rFonts w:hint="eastAsia"/>
        </w:rPr>
      </w:pPr>
    </w:p>
    <w:p w:rsidR="00A36534" w:rsidRDefault="00A36534" w14:paraId="6E148866" w14:textId="3E2CB817">
      <w:pPr>
        <w:pStyle w:val="CommentText"/>
        <w:rPr>
          <w:rFonts w:hint="eastAsia"/>
        </w:rPr>
      </w:pPr>
      <w:r w:rsidRPr="6003215D">
        <w:t>More Information:</w:t>
      </w:r>
    </w:p>
    <w:p w:rsidR="00A36534" w:rsidRDefault="00A36534" w14:paraId="2DA9D08D" w14:textId="2DF72285">
      <w:pPr>
        <w:pStyle w:val="CommentText"/>
        <w:rPr>
          <w:rFonts w:hint="eastAsia"/>
        </w:rPr>
      </w:pPr>
      <w:r w:rsidRPr="4CFEFB48">
        <w:t>For more info on how Cadence PCIe Verification IP and TripleCheck VIP enable users to confidently verify PCIe 6.1, see our </w:t>
      </w:r>
      <w:hyperlink r:id="rId1">
        <w:r w:rsidRPr="61CB2891">
          <w:t>VIP for PCI Express</w:t>
        </w:r>
      </w:hyperlink>
      <w:r w:rsidRPr="6E98E479">
        <w:t>, </w:t>
      </w:r>
      <w:hyperlink r:id="rId2">
        <w:r w:rsidRPr="14247FB3">
          <w:t>VIP for Compute Express Link</w:t>
        </w:r>
      </w:hyperlink>
      <w:r w:rsidRPr="21059A37">
        <w:t xml:space="preserve"> and </w:t>
      </w:r>
      <w:hyperlink r:id="rId3">
        <w:r w:rsidRPr="47191CC7">
          <w:t>TripleCheck for PCI Express </w:t>
        </w:r>
      </w:hyperlink>
    </w:p>
    <w:p w:rsidR="00A36534" w:rsidRDefault="00A36534" w14:paraId="46DF6E69" w14:textId="092CD317">
      <w:pPr>
        <w:pStyle w:val="CommentText"/>
        <w:rPr>
          <w:rFonts w:hint="eastAsia"/>
        </w:rPr>
      </w:pPr>
      <w:r w:rsidRPr="4CC287D4">
        <w:t>See the PCI-SIG website for more details on PCIe in general and the different PCI standards. </w:t>
      </w:r>
    </w:p>
    <w:p w:rsidR="00A36534" w:rsidRDefault="00A36534" w14:paraId="040F4F54" w14:textId="0435482D">
      <w:pPr>
        <w:pStyle w:val="CommentText"/>
        <w:rPr>
          <w:rFonts w:hint="eastAsi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84B679" w15:done="1"/>
  <w15:commentEx w15:paraId="6FA7A833" w15:done="1"/>
  <w15:commentEx w15:paraId="6F5E9BE2" w15:done="1"/>
  <w15:commentEx w15:paraId="440F4777" w15:done="1"/>
  <w15:commentEx w15:paraId="040F4F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ED572F" w16cex:dateUtc="2024-11-08T03:59:00Z"/>
  <w16cex:commentExtensible w16cex:durableId="16397879" w16cex:dateUtc="2024-11-08T03:56:00Z"/>
  <w16cex:commentExtensible w16cex:durableId="11457BD2" w16cex:dateUtc="2024-11-08T03:58:00Z"/>
  <w16cex:commentExtensible w16cex:durableId="41E0B9A0" w16cex:dateUtc="2024-11-08T19:32:00Z"/>
  <w16cex:commentExtensible w16cex:durableId="6ADCADAE" w16cex:dateUtc="2024-11-08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84B679" w16cid:durableId="6FED572F"/>
  <w16cid:commentId w16cid:paraId="6FA7A833" w16cid:durableId="16397879"/>
  <w16cid:commentId w16cid:paraId="6F5E9BE2" w16cid:durableId="11457BD2"/>
  <w16cid:commentId w16cid:paraId="440F4777" w16cid:durableId="41E0B9A0"/>
  <w16cid:commentId w16cid:paraId="040F4F54" w16cid:durableId="6ADCAD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Rubik-Light">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Ying">
    <w15:presenceInfo w15:providerId="AD" w15:userId="S::cying@global.cadence.com::29ec527a-beb7-4a5a-bf93-cbb97ec97bb5"/>
  </w15:person>
  <w15:person w15:author="Xin Mu">
    <w15:presenceInfo w15:providerId="AD" w15:userId="S::xinmu@global.cadence.com::b4adeb70-744b-4e09-b57d-a088d16baa7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2"/>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C9"/>
    <w:rsid w:val="0001187F"/>
    <w:rsid w:val="00011BEC"/>
    <w:rsid w:val="00023031"/>
    <w:rsid w:val="000B5200"/>
    <w:rsid w:val="000C2C4D"/>
    <w:rsid w:val="000C3CD5"/>
    <w:rsid w:val="00106D7C"/>
    <w:rsid w:val="001A0D30"/>
    <w:rsid w:val="001B0906"/>
    <w:rsid w:val="001B2721"/>
    <w:rsid w:val="001B4B32"/>
    <w:rsid w:val="001C17AC"/>
    <w:rsid w:val="001C2205"/>
    <w:rsid w:val="001C247F"/>
    <w:rsid w:val="001D3BC2"/>
    <w:rsid w:val="001F4220"/>
    <w:rsid w:val="002263CE"/>
    <w:rsid w:val="00232038"/>
    <w:rsid w:val="00253585"/>
    <w:rsid w:val="00261E3D"/>
    <w:rsid w:val="00274A44"/>
    <w:rsid w:val="002A58F8"/>
    <w:rsid w:val="002A5C59"/>
    <w:rsid w:val="002B48CA"/>
    <w:rsid w:val="002E462B"/>
    <w:rsid w:val="00312708"/>
    <w:rsid w:val="00323B25"/>
    <w:rsid w:val="00325C25"/>
    <w:rsid w:val="00326058"/>
    <w:rsid w:val="0034280D"/>
    <w:rsid w:val="003617FB"/>
    <w:rsid w:val="00380561"/>
    <w:rsid w:val="00457F50"/>
    <w:rsid w:val="004617FD"/>
    <w:rsid w:val="00464339"/>
    <w:rsid w:val="00473DA5"/>
    <w:rsid w:val="004833BB"/>
    <w:rsid w:val="004A0815"/>
    <w:rsid w:val="004A494B"/>
    <w:rsid w:val="004A5FE4"/>
    <w:rsid w:val="004D3746"/>
    <w:rsid w:val="004E7441"/>
    <w:rsid w:val="00510FEA"/>
    <w:rsid w:val="00525507"/>
    <w:rsid w:val="00530471"/>
    <w:rsid w:val="00535A62"/>
    <w:rsid w:val="005533A5"/>
    <w:rsid w:val="00555EBF"/>
    <w:rsid w:val="00586937"/>
    <w:rsid w:val="005869AF"/>
    <w:rsid w:val="00590BA4"/>
    <w:rsid w:val="005936C8"/>
    <w:rsid w:val="005A1DF2"/>
    <w:rsid w:val="006448B3"/>
    <w:rsid w:val="00657874"/>
    <w:rsid w:val="00661EAD"/>
    <w:rsid w:val="00682C0A"/>
    <w:rsid w:val="00694429"/>
    <w:rsid w:val="006A62E5"/>
    <w:rsid w:val="006D5188"/>
    <w:rsid w:val="006E2444"/>
    <w:rsid w:val="00700C70"/>
    <w:rsid w:val="00722E53"/>
    <w:rsid w:val="0072672A"/>
    <w:rsid w:val="0075181A"/>
    <w:rsid w:val="00751AB5"/>
    <w:rsid w:val="007A1C05"/>
    <w:rsid w:val="007A540E"/>
    <w:rsid w:val="007B019A"/>
    <w:rsid w:val="007B3D23"/>
    <w:rsid w:val="007C46BB"/>
    <w:rsid w:val="007D13D9"/>
    <w:rsid w:val="00801AA1"/>
    <w:rsid w:val="008878C3"/>
    <w:rsid w:val="00893845"/>
    <w:rsid w:val="00912433"/>
    <w:rsid w:val="00935DD1"/>
    <w:rsid w:val="00972ADA"/>
    <w:rsid w:val="00972AF3"/>
    <w:rsid w:val="00975E10"/>
    <w:rsid w:val="0098063E"/>
    <w:rsid w:val="00985FA2"/>
    <w:rsid w:val="009A0508"/>
    <w:rsid w:val="009A0C40"/>
    <w:rsid w:val="009C2829"/>
    <w:rsid w:val="00A006E7"/>
    <w:rsid w:val="00A312E9"/>
    <w:rsid w:val="00A33C19"/>
    <w:rsid w:val="00A36534"/>
    <w:rsid w:val="00A37CC9"/>
    <w:rsid w:val="00A4252D"/>
    <w:rsid w:val="00A53FBB"/>
    <w:rsid w:val="00A93700"/>
    <w:rsid w:val="00AA73C2"/>
    <w:rsid w:val="00AC1491"/>
    <w:rsid w:val="00AC1DB5"/>
    <w:rsid w:val="00AC3835"/>
    <w:rsid w:val="00AE745A"/>
    <w:rsid w:val="00B16B97"/>
    <w:rsid w:val="00B76CFA"/>
    <w:rsid w:val="00B777AC"/>
    <w:rsid w:val="00B83EC6"/>
    <w:rsid w:val="00B85684"/>
    <w:rsid w:val="00B9449B"/>
    <w:rsid w:val="00BB09E5"/>
    <w:rsid w:val="00BB3060"/>
    <w:rsid w:val="00BC6794"/>
    <w:rsid w:val="00BF7EAA"/>
    <w:rsid w:val="00C13625"/>
    <w:rsid w:val="00C261FD"/>
    <w:rsid w:val="00C477F0"/>
    <w:rsid w:val="00C83989"/>
    <w:rsid w:val="00C86551"/>
    <w:rsid w:val="00CA6F7E"/>
    <w:rsid w:val="00CE3668"/>
    <w:rsid w:val="00D15B0A"/>
    <w:rsid w:val="00D34DC2"/>
    <w:rsid w:val="00D7648A"/>
    <w:rsid w:val="00D84966"/>
    <w:rsid w:val="00D91171"/>
    <w:rsid w:val="00DA29E6"/>
    <w:rsid w:val="00DD495A"/>
    <w:rsid w:val="00DD61B6"/>
    <w:rsid w:val="00DF3CFC"/>
    <w:rsid w:val="00DF7E74"/>
    <w:rsid w:val="00E20689"/>
    <w:rsid w:val="00E60E4D"/>
    <w:rsid w:val="00E6537A"/>
    <w:rsid w:val="00E73E66"/>
    <w:rsid w:val="00EB28BE"/>
    <w:rsid w:val="00EC1B6A"/>
    <w:rsid w:val="00EF76C3"/>
    <w:rsid w:val="00F12301"/>
    <w:rsid w:val="00F236C6"/>
    <w:rsid w:val="00F32F41"/>
    <w:rsid w:val="00F46BE3"/>
    <w:rsid w:val="00F62741"/>
    <w:rsid w:val="00F706BC"/>
    <w:rsid w:val="00F74962"/>
    <w:rsid w:val="00FB05E2"/>
    <w:rsid w:val="00FC6262"/>
    <w:rsid w:val="0236A27B"/>
    <w:rsid w:val="0273DD28"/>
    <w:rsid w:val="083140CB"/>
    <w:rsid w:val="2618C875"/>
    <w:rsid w:val="2834A7C2"/>
    <w:rsid w:val="2963B4CC"/>
    <w:rsid w:val="2A351934"/>
    <w:rsid w:val="2AE8B20A"/>
    <w:rsid w:val="2B0098DA"/>
    <w:rsid w:val="2BCE9742"/>
    <w:rsid w:val="2EE3F01E"/>
    <w:rsid w:val="35A04457"/>
    <w:rsid w:val="3BFC29AB"/>
    <w:rsid w:val="3CC307E6"/>
    <w:rsid w:val="3F19BAA9"/>
    <w:rsid w:val="44B593CD"/>
    <w:rsid w:val="47B744AB"/>
    <w:rsid w:val="4BA0ABF7"/>
    <w:rsid w:val="4BDF903F"/>
    <w:rsid w:val="4BEA20ED"/>
    <w:rsid w:val="530FBE77"/>
    <w:rsid w:val="5ECB220F"/>
    <w:rsid w:val="610ECA7C"/>
    <w:rsid w:val="6EC28B16"/>
    <w:rsid w:val="6F75E94E"/>
    <w:rsid w:val="78445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9E73749"/>
  <w15:chartTrackingRefBased/>
  <w15:docId w15:val="{AAB03C1A-A1F7-4417-B479-98B19A3CA2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37CC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CC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CC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37CC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37CC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37CC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37CC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37CC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37CC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37CC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37CC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37CC9"/>
    <w:rPr>
      <w:rFonts w:eastAsiaTheme="majorEastAsia" w:cstheme="majorBidi"/>
      <w:color w:val="272727" w:themeColor="text1" w:themeTint="D8"/>
    </w:rPr>
  </w:style>
  <w:style w:type="paragraph" w:styleId="Title">
    <w:name w:val="Title"/>
    <w:basedOn w:val="Normal"/>
    <w:next w:val="Normal"/>
    <w:link w:val="TitleChar"/>
    <w:uiPriority w:val="10"/>
    <w:qFormat/>
    <w:rsid w:val="00A37CC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37CC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37CC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37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CC9"/>
    <w:pPr>
      <w:spacing w:before="160"/>
      <w:jc w:val="center"/>
    </w:pPr>
    <w:rPr>
      <w:i/>
      <w:iCs/>
      <w:color w:val="404040" w:themeColor="text1" w:themeTint="BF"/>
    </w:rPr>
  </w:style>
  <w:style w:type="character" w:styleId="QuoteChar" w:customStyle="1">
    <w:name w:val="Quote Char"/>
    <w:basedOn w:val="DefaultParagraphFont"/>
    <w:link w:val="Quote"/>
    <w:uiPriority w:val="29"/>
    <w:rsid w:val="00A37CC9"/>
    <w:rPr>
      <w:i/>
      <w:iCs/>
      <w:color w:val="404040" w:themeColor="text1" w:themeTint="BF"/>
    </w:rPr>
  </w:style>
  <w:style w:type="paragraph" w:styleId="ListParagraph">
    <w:name w:val="List Paragraph"/>
    <w:basedOn w:val="Normal"/>
    <w:uiPriority w:val="34"/>
    <w:qFormat/>
    <w:rsid w:val="00A37CC9"/>
    <w:pPr>
      <w:ind w:left="720"/>
      <w:contextualSpacing/>
    </w:pPr>
  </w:style>
  <w:style w:type="character" w:styleId="IntenseEmphasis">
    <w:name w:val="Intense Emphasis"/>
    <w:basedOn w:val="DefaultParagraphFont"/>
    <w:uiPriority w:val="21"/>
    <w:qFormat/>
    <w:rsid w:val="00A37CC9"/>
    <w:rPr>
      <w:i/>
      <w:iCs/>
      <w:color w:val="0F4761" w:themeColor="accent1" w:themeShade="BF"/>
    </w:rPr>
  </w:style>
  <w:style w:type="paragraph" w:styleId="IntenseQuote">
    <w:name w:val="Intense Quote"/>
    <w:basedOn w:val="Normal"/>
    <w:next w:val="Normal"/>
    <w:link w:val="IntenseQuoteChar"/>
    <w:uiPriority w:val="30"/>
    <w:qFormat/>
    <w:rsid w:val="00A37CC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37CC9"/>
    <w:rPr>
      <w:i/>
      <w:iCs/>
      <w:color w:val="0F4761" w:themeColor="accent1" w:themeShade="BF"/>
    </w:rPr>
  </w:style>
  <w:style w:type="character" w:styleId="IntenseReference">
    <w:name w:val="Intense Reference"/>
    <w:basedOn w:val="DefaultParagraphFont"/>
    <w:uiPriority w:val="32"/>
    <w:qFormat/>
    <w:rsid w:val="00A37CC9"/>
    <w:rPr>
      <w:b/>
      <w:bCs/>
      <w:smallCaps/>
      <w:color w:val="0F4761" w:themeColor="accent1" w:themeShade="BF"/>
      <w:spacing w:val="5"/>
    </w:rPr>
  </w:style>
  <w:style w:type="paragraph" w:styleId="Revision">
    <w:name w:val="Revision"/>
    <w:hidden/>
    <w:uiPriority w:val="99"/>
    <w:semiHidden/>
    <w:rsid w:val="00253585"/>
    <w:pPr>
      <w:spacing w:after="0" w:line="240" w:lineRule="auto"/>
    </w:pPr>
  </w:style>
  <w:style w:type="character" w:styleId="CommentReference">
    <w:name w:val="annotation reference"/>
    <w:basedOn w:val="DefaultParagraphFont"/>
    <w:uiPriority w:val="99"/>
    <w:semiHidden/>
    <w:unhideWhenUsed/>
    <w:rsid w:val="00AC1DB5"/>
    <w:rPr>
      <w:sz w:val="16"/>
      <w:szCs w:val="16"/>
    </w:rPr>
  </w:style>
  <w:style w:type="paragraph" w:styleId="CommentText">
    <w:name w:val="annotation text"/>
    <w:basedOn w:val="Normal"/>
    <w:link w:val="CommentTextChar"/>
    <w:uiPriority w:val="99"/>
    <w:semiHidden/>
    <w:unhideWhenUsed/>
    <w:rsid w:val="00AC1DB5"/>
    <w:pPr>
      <w:spacing w:line="240" w:lineRule="auto"/>
    </w:pPr>
    <w:rPr>
      <w:sz w:val="20"/>
      <w:szCs w:val="20"/>
    </w:rPr>
  </w:style>
  <w:style w:type="character" w:styleId="CommentTextChar" w:customStyle="1">
    <w:name w:val="Comment Text Char"/>
    <w:basedOn w:val="DefaultParagraphFont"/>
    <w:link w:val="CommentText"/>
    <w:uiPriority w:val="99"/>
    <w:semiHidden/>
    <w:rsid w:val="00AC1DB5"/>
    <w:rPr>
      <w:sz w:val="20"/>
      <w:szCs w:val="20"/>
    </w:rPr>
  </w:style>
  <w:style w:type="paragraph" w:styleId="CommentSubject">
    <w:name w:val="annotation subject"/>
    <w:basedOn w:val="CommentText"/>
    <w:next w:val="CommentText"/>
    <w:link w:val="CommentSubjectChar"/>
    <w:uiPriority w:val="99"/>
    <w:semiHidden/>
    <w:unhideWhenUsed/>
    <w:rsid w:val="00AC1DB5"/>
    <w:rPr>
      <w:b/>
      <w:bCs/>
    </w:rPr>
  </w:style>
  <w:style w:type="character" w:styleId="CommentSubjectChar" w:customStyle="1">
    <w:name w:val="Comment Subject Char"/>
    <w:basedOn w:val="CommentTextChar"/>
    <w:link w:val="CommentSubject"/>
    <w:uiPriority w:val="99"/>
    <w:semiHidden/>
    <w:rsid w:val="00AC1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ip.cadence.com/ipportfolio/verification-ip/productivity-tools" TargetMode="External"/><Relationship Id="rId2" Type="http://schemas.openxmlformats.org/officeDocument/2006/relationships/hyperlink" Target="https://ip.cadence.com/ipportfolio/verification-ip/simulation-vip/pci-express/vip-for-compute-express-link-cxl" TargetMode="External"/><Relationship Id="rId1" Type="http://schemas.openxmlformats.org/officeDocument/2006/relationships/hyperlink" Target="https://ip.cadence.com/ipportfolio/verification-ip/simulation-vip/pci-express/pci-express-gen6-simulation-vip"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ip.cadence.com/ipportfolio/verification-ip/simulation-vip"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ip.cadence.com/ipportfolio/verification-ip/simulation-vip/display/vip-for-displayport-8K"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talk_to_vip_expert@cad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Ning Mi</dc:creator>
  <keywords/>
  <dc:description/>
  <lastModifiedBy>Xin Mu</lastModifiedBy>
  <revision>96</revision>
  <dcterms:created xsi:type="dcterms:W3CDTF">2024-07-06T04:26:00.0000000Z</dcterms:created>
  <dcterms:modified xsi:type="dcterms:W3CDTF">2024-12-10T22:12:29.4095417Z</dcterms:modified>
</coreProperties>
</file>